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89EE" w14:textId="1D9E84C9" w:rsidR="00AF327E" w:rsidRPr="00AF327E" w:rsidRDefault="00AF327E" w:rsidP="00AF327E">
      <w:pPr>
        <w:spacing w:after="240" w:line="276" w:lineRule="auto"/>
        <w:jc w:val="center"/>
        <w:rPr>
          <w:rFonts w:ascii="Arial" w:eastAsia="Arial" w:hAnsi="Arial" w:cs="Arial"/>
          <w:b/>
          <w:bCs/>
        </w:rPr>
      </w:pPr>
      <w:bookmarkStart w:id="0" w:name="_heading=h.gjdgxs" w:colFirst="0" w:colLast="0"/>
      <w:bookmarkEnd w:id="0"/>
      <w:r w:rsidRPr="00AF327E">
        <w:rPr>
          <w:rFonts w:ascii="Arial" w:eastAsia="Arial" w:hAnsi="Arial" w:cs="Arial"/>
          <w:b/>
          <w:bCs/>
          <w:sz w:val="22"/>
          <w:szCs w:val="22"/>
        </w:rPr>
        <w:t xml:space="preserve">Síntesis de la </w:t>
      </w:r>
      <w:r w:rsidRPr="00AF327E">
        <w:rPr>
          <w:rFonts w:ascii="Arial" w:eastAsia="Arial" w:hAnsi="Arial" w:cs="Arial"/>
          <w:b/>
          <w:bCs/>
          <w:i/>
          <w:sz w:val="22"/>
          <w:szCs w:val="22"/>
        </w:rPr>
        <w:t>Segunda Evaluación Vinculante 2020 respecto del ejercicio 2019</w:t>
      </w:r>
    </w:p>
    <w:p w14:paraId="461AA738" w14:textId="07833456" w:rsidR="004B16C6" w:rsidRDefault="00FB6F8A">
      <w:p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la evaluación de la información publicada y actualizada durante el 2019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, por </w:t>
      </w:r>
      <w:r>
        <w:rPr>
          <w:rFonts w:ascii="Arial" w:eastAsia="Arial" w:hAnsi="Arial" w:cs="Arial"/>
          <w:b/>
          <w:sz w:val="22"/>
          <w:szCs w:val="22"/>
        </w:rPr>
        <w:t>143</w:t>
      </w:r>
      <w:r>
        <w:rPr>
          <w:rFonts w:ascii="Arial" w:eastAsia="Arial" w:hAnsi="Arial" w:cs="Arial"/>
          <w:sz w:val="22"/>
          <w:szCs w:val="22"/>
        </w:rPr>
        <w:t xml:space="preserve"> de 146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sujetos obligados</w:t>
      </w:r>
      <w:r>
        <w:rPr>
          <w:rFonts w:ascii="Arial" w:eastAsia="Arial" w:hAnsi="Arial" w:cs="Arial"/>
          <w:sz w:val="22"/>
          <w:szCs w:val="22"/>
        </w:rPr>
        <w:t xml:space="preserve"> del Padrón vigente en la Ciudad de México al 31 de diciembre de 2019, se aprecia que el promedio de información disponible para su consulta y aprovechamiento en la Ciudad de México fue de </w:t>
      </w:r>
      <w:r>
        <w:rPr>
          <w:rFonts w:ascii="Arial" w:eastAsia="Arial" w:hAnsi="Arial" w:cs="Arial"/>
          <w:b/>
          <w:sz w:val="22"/>
          <w:szCs w:val="22"/>
        </w:rPr>
        <w:t>76.99 por ciento</w:t>
      </w:r>
      <w:r>
        <w:rPr>
          <w:rFonts w:ascii="Arial" w:eastAsia="Arial" w:hAnsi="Arial" w:cs="Arial"/>
          <w:sz w:val="22"/>
          <w:szCs w:val="22"/>
        </w:rPr>
        <w:t>, mientras que el año pasado, en la evaluación simi</w:t>
      </w:r>
      <w:r>
        <w:rPr>
          <w:rFonts w:ascii="Arial" w:eastAsia="Arial" w:hAnsi="Arial" w:cs="Arial"/>
          <w:sz w:val="22"/>
          <w:szCs w:val="22"/>
        </w:rPr>
        <w:t xml:space="preserve">lar referida al ejercicio 2018, fue de </w:t>
      </w:r>
      <w:r>
        <w:rPr>
          <w:rFonts w:ascii="Arial" w:eastAsia="Arial" w:hAnsi="Arial" w:cs="Arial"/>
          <w:b/>
          <w:sz w:val="22"/>
          <w:szCs w:val="22"/>
        </w:rPr>
        <w:t>66.44 por ciento</w:t>
      </w:r>
      <w:r>
        <w:rPr>
          <w:rFonts w:ascii="Arial" w:eastAsia="Arial" w:hAnsi="Arial" w:cs="Arial"/>
          <w:sz w:val="22"/>
          <w:szCs w:val="22"/>
        </w:rPr>
        <w:t>.</w:t>
      </w:r>
    </w:p>
    <w:p w14:paraId="078DF0E7" w14:textId="77777777" w:rsidR="004B16C6" w:rsidRDefault="00FB6F8A">
      <w:p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eading=h.6oxyrtkx5gd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Los principales resultados son los siguientes: </w:t>
      </w:r>
      <w:r>
        <w:rPr>
          <w:rFonts w:ascii="Arial" w:eastAsia="Arial" w:hAnsi="Arial" w:cs="Arial"/>
          <w:b/>
          <w:sz w:val="22"/>
          <w:szCs w:val="22"/>
        </w:rPr>
        <w:t>24 sujetos obligados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footnoteReference w:id="3"/>
      </w:r>
      <w:r>
        <w:rPr>
          <w:rFonts w:ascii="Arial" w:eastAsia="Arial" w:hAnsi="Arial" w:cs="Arial"/>
          <w:sz w:val="22"/>
          <w:szCs w:val="22"/>
        </w:rPr>
        <w:t xml:space="preserve"> tuvieron un </w:t>
      </w:r>
      <w:r>
        <w:rPr>
          <w:rFonts w:ascii="Arial" w:eastAsia="Arial" w:hAnsi="Arial" w:cs="Arial"/>
          <w:b/>
          <w:sz w:val="22"/>
          <w:szCs w:val="22"/>
        </w:rPr>
        <w:t>cumplimiento total</w:t>
      </w:r>
      <w:r>
        <w:rPr>
          <w:rFonts w:ascii="Arial" w:eastAsia="Arial" w:hAnsi="Arial" w:cs="Arial"/>
          <w:sz w:val="22"/>
          <w:szCs w:val="22"/>
        </w:rPr>
        <w:t xml:space="preserve"> (100 puntos); </w:t>
      </w:r>
      <w:r>
        <w:rPr>
          <w:rFonts w:ascii="Arial" w:eastAsia="Arial" w:hAnsi="Arial" w:cs="Arial"/>
          <w:b/>
          <w:sz w:val="22"/>
          <w:szCs w:val="22"/>
        </w:rPr>
        <w:t>86 sujetos obligados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footnoteReference w:id="4"/>
      </w:r>
      <w:r>
        <w:rPr>
          <w:rFonts w:ascii="Arial" w:eastAsia="Arial" w:hAnsi="Arial" w:cs="Arial"/>
          <w:sz w:val="22"/>
          <w:szCs w:val="22"/>
        </w:rPr>
        <w:t xml:space="preserve"> tuvieron un </w:t>
      </w:r>
      <w:r>
        <w:rPr>
          <w:rFonts w:ascii="Arial" w:eastAsia="Arial" w:hAnsi="Arial" w:cs="Arial"/>
          <w:b/>
          <w:sz w:val="22"/>
          <w:szCs w:val="22"/>
        </w:rPr>
        <w:t>cumplimiento parcial</w:t>
      </w:r>
      <w:r>
        <w:rPr>
          <w:rFonts w:ascii="Arial" w:eastAsia="Arial" w:hAnsi="Arial" w:cs="Arial"/>
          <w:sz w:val="22"/>
          <w:szCs w:val="22"/>
        </w:rPr>
        <w:t xml:space="preserve"> (entre 60 y 99.99 puntos);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5 sujetos obligados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footnoteReference w:id="5"/>
      </w:r>
      <w:r>
        <w:rPr>
          <w:rFonts w:ascii="Arial" w:eastAsia="Arial" w:hAnsi="Arial" w:cs="Arial"/>
          <w:sz w:val="22"/>
          <w:szCs w:val="22"/>
        </w:rPr>
        <w:t xml:space="preserve"> tuvieron un </w:t>
      </w:r>
      <w:r>
        <w:rPr>
          <w:rFonts w:ascii="Arial" w:eastAsia="Arial" w:hAnsi="Arial" w:cs="Arial"/>
          <w:b/>
          <w:sz w:val="22"/>
          <w:szCs w:val="22"/>
        </w:rPr>
        <w:t>incumplimiento parcial</w:t>
      </w:r>
      <w:r>
        <w:rPr>
          <w:rFonts w:ascii="Arial" w:eastAsia="Arial" w:hAnsi="Arial" w:cs="Arial"/>
          <w:sz w:val="22"/>
          <w:szCs w:val="22"/>
        </w:rPr>
        <w:t xml:space="preserve"> (entre 59.99 y 1 punto) y </w:t>
      </w:r>
      <w:r>
        <w:rPr>
          <w:rFonts w:ascii="Arial" w:eastAsia="Arial" w:hAnsi="Arial" w:cs="Arial"/>
          <w:b/>
          <w:sz w:val="22"/>
          <w:szCs w:val="22"/>
        </w:rPr>
        <w:t>8 sujetos obligados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footnoteReference w:id="6"/>
      </w:r>
      <w:r>
        <w:rPr>
          <w:rFonts w:ascii="Arial" w:eastAsia="Arial" w:hAnsi="Arial" w:cs="Arial"/>
          <w:sz w:val="22"/>
          <w:szCs w:val="22"/>
        </w:rPr>
        <w:t xml:space="preserve"> tuvieron un </w:t>
      </w:r>
      <w:r>
        <w:rPr>
          <w:rFonts w:ascii="Arial" w:eastAsia="Arial" w:hAnsi="Arial" w:cs="Arial"/>
          <w:b/>
          <w:sz w:val="22"/>
          <w:szCs w:val="22"/>
        </w:rPr>
        <w:t>Incumplimiento total</w:t>
      </w:r>
      <w:r>
        <w:rPr>
          <w:rFonts w:ascii="Arial" w:eastAsia="Arial" w:hAnsi="Arial" w:cs="Arial"/>
          <w:sz w:val="22"/>
          <w:szCs w:val="22"/>
        </w:rPr>
        <w:t xml:space="preserve"> (con 0 puntos).</w:t>
      </w:r>
    </w:p>
    <w:p w14:paraId="6B5F946C" w14:textId="77777777" w:rsidR="004B16C6" w:rsidRDefault="00FB6F8A">
      <w:p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_heading=h.hsojy7karff6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b/>
          <w:sz w:val="22"/>
          <w:szCs w:val="22"/>
        </w:rPr>
        <w:t>cumplimiento promedio por ámbito</w:t>
      </w:r>
      <w:r>
        <w:rPr>
          <w:rFonts w:ascii="Arial" w:eastAsia="Arial" w:hAnsi="Arial" w:cs="Arial"/>
          <w:sz w:val="22"/>
          <w:szCs w:val="22"/>
        </w:rPr>
        <w:t xml:space="preserve"> es de: 98.97 del Poder Judicial; 95.98 en la administración públic</w:t>
      </w:r>
      <w:r>
        <w:rPr>
          <w:rFonts w:ascii="Arial" w:eastAsia="Arial" w:hAnsi="Arial" w:cs="Arial"/>
          <w:sz w:val="22"/>
          <w:szCs w:val="22"/>
        </w:rPr>
        <w:t>a central; 93.21 en alcaldías; 92.23 en el Poder Legislativo; 82.98 para los órganos autónomos; 75.09 en los organismos desconcentrados, descentralizados, paraestatales, fondos y fideicomisos; 55.76 en los partidos políticos y en los sindicatos, 21.71 punt</w:t>
      </w:r>
      <w:r>
        <w:rPr>
          <w:rFonts w:ascii="Arial" w:eastAsia="Arial" w:hAnsi="Arial" w:cs="Arial"/>
          <w:sz w:val="22"/>
          <w:szCs w:val="22"/>
        </w:rPr>
        <w:t>o</w:t>
      </w:r>
    </w:p>
    <w:p w14:paraId="4CCDF084" w14:textId="77777777" w:rsidR="004B16C6" w:rsidRPr="00AF327E" w:rsidRDefault="00FB6F8A">
      <w:pPr>
        <w:spacing w:after="240"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bookmarkStart w:id="3" w:name="_heading=h.g9cmys8fh84q" w:colFirst="0" w:colLast="0"/>
      <w:bookmarkEnd w:id="3"/>
      <w:r w:rsidRPr="00AF327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Buenas prácticas y áreas de oportunida</w:t>
      </w:r>
      <w:r w:rsidRPr="00AF327E">
        <w:rPr>
          <w:rFonts w:ascii="Arial" w:eastAsia="Arial" w:hAnsi="Arial" w:cs="Arial"/>
          <w:b/>
          <w:sz w:val="22"/>
          <w:szCs w:val="22"/>
          <w:u w:val="single"/>
        </w:rPr>
        <w:t>d</w:t>
      </w:r>
    </w:p>
    <w:p w14:paraId="211244E2" w14:textId="373F03D8" w:rsidR="004B16C6" w:rsidRPr="00AF327E" w:rsidRDefault="00FB6F8A">
      <w:p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4" w:name="_heading=h.z302p5pcnxoj" w:colFirst="0" w:colLast="0"/>
      <w:bookmarkEnd w:id="4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aras de agregar valor a la evaluación y con el fin de hacer observaciones a los sujetos obligados para </w:t>
      </w:r>
      <w:r>
        <w:rPr>
          <w:rFonts w:ascii="Arial" w:eastAsia="Arial" w:hAnsi="Arial" w:cs="Arial"/>
          <w:sz w:val="22"/>
          <w:szCs w:val="22"/>
        </w:rPr>
        <w:t xml:space="preserve">facilitar a las personas el acceso a la información clara, actualizada y oportuna que se pueda obtener de manera rápida, sencilla y eficaz; por primera vez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definieron y sistematizaron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11 </w:t>
      </w:r>
      <w:r>
        <w:rPr>
          <w:rFonts w:ascii="Arial" w:eastAsia="Arial" w:hAnsi="Arial" w:cs="Arial"/>
          <w:color w:val="000000"/>
          <w:sz w:val="22"/>
          <w:szCs w:val="22"/>
        </w:rPr>
        <w:t>tipos 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buenas prácticas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footnoteReference w:id="7"/>
      </w:r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r>
        <w:rPr>
          <w:rFonts w:ascii="Arial" w:eastAsia="Arial" w:hAnsi="Arial" w:cs="Arial"/>
          <w:b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tipos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áreas de oportunidad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footnoteReference w:id="8"/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bookmarkStart w:id="5" w:name="_heading=h.h9yzxyt8fwz" w:colFirst="0" w:colLast="0"/>
      <w:bookmarkEnd w:id="5"/>
    </w:p>
    <w:p w14:paraId="54E94DBE" w14:textId="77777777" w:rsidR="004B16C6" w:rsidRPr="00AF327E" w:rsidRDefault="00FB6F8A">
      <w:pP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AF327E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Análisis al cumplimiento a las contrataciones </w:t>
      </w:r>
    </w:p>
    <w:p w14:paraId="15586258" w14:textId="77777777" w:rsidR="004B16C6" w:rsidRDefault="00FB6F8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6" w:name="_heading=h.irajtkb97xwo" w:colFirst="0" w:colLast="0"/>
      <w:bookmarkEnd w:id="6"/>
      <w:r>
        <w:rPr>
          <w:rFonts w:ascii="Arial" w:eastAsia="Arial" w:hAnsi="Arial" w:cs="Arial"/>
          <w:sz w:val="22"/>
          <w:szCs w:val="22"/>
        </w:rPr>
        <w:t xml:space="preserve">Otro aspecto novedoso de esta evaluación es el análisis focalizado al cumplimiento de las obligaciones de transparencia en materia de </w:t>
      </w:r>
      <w:r>
        <w:rPr>
          <w:rFonts w:ascii="Arial" w:eastAsia="Arial" w:hAnsi="Arial" w:cs="Arial"/>
          <w:b/>
          <w:sz w:val="22"/>
          <w:szCs w:val="22"/>
        </w:rPr>
        <w:t>contrataciones</w:t>
      </w:r>
      <w:r>
        <w:rPr>
          <w:rFonts w:ascii="Arial" w:eastAsia="Arial" w:hAnsi="Arial" w:cs="Arial"/>
          <w:sz w:val="22"/>
          <w:szCs w:val="22"/>
        </w:rPr>
        <w:t xml:space="preserve">. Del análisis se desprende que: </w:t>
      </w:r>
    </w:p>
    <w:p w14:paraId="7AC18828" w14:textId="77777777" w:rsidR="004B16C6" w:rsidRDefault="00FB6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promedio de cumplimient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en contratos es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71.2 puntos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lo que denota una brecha de 28.8 puntos para cumplir con el mínimo que marca la ley en las fracciones analizadas. </w:t>
      </w:r>
    </w:p>
    <w:p w14:paraId="6D915D97" w14:textId="77777777" w:rsidR="004B16C6" w:rsidRDefault="00FB6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7" w:name="_heading=h.30j0zll" w:colFirst="0" w:colLast="0"/>
      <w:bookmarkEnd w:id="7"/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40%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los 143 sujetos obligados evaluados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cumplen totalmente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(100 puntos) con la publicación de las contrataciones realizadas. </w:t>
      </w:r>
    </w:p>
    <w:p w14:paraId="7CC05BD1" w14:textId="77777777" w:rsidR="004B16C6" w:rsidRDefault="00FB6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el otro extremo están 35 sujetos obligados, que representan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24.5%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Padrón, que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incumplen totalmente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(0 puntos) y no publican la información relativa a las contrataciones que realizar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 en la fracción referida a contrataciones. </w:t>
      </w:r>
    </w:p>
    <w:p w14:paraId="7A8F6BC4" w14:textId="77777777" w:rsidR="004B16C6" w:rsidRDefault="00FB6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</w:t>
      </w:r>
      <w:r>
        <w:rPr>
          <w:rFonts w:ascii="Arial" w:eastAsia="Arial" w:hAnsi="Arial" w:cs="Arial"/>
          <w:b/>
          <w:color w:val="000000"/>
          <w:sz w:val="22"/>
          <w:szCs w:val="22"/>
        </w:rPr>
        <w:t>materia de contrataciones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</w:t>
      </w:r>
      <w:r>
        <w:rPr>
          <w:rFonts w:ascii="Arial" w:eastAsia="Arial" w:hAnsi="Arial" w:cs="Arial"/>
          <w:b/>
          <w:color w:val="000000"/>
          <w:sz w:val="22"/>
          <w:szCs w:val="22"/>
        </w:rPr>
        <w:t>áreas de oportunidad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detectadas que requieren de atención van, desde la falta total de información publicada sobre contratos y convenios, pasando por información no actualizada, hasta la revisión en el funcionamiento de los hipervínculos publicados para garantizar que no esté</w:t>
      </w:r>
      <w:r>
        <w:rPr>
          <w:rFonts w:ascii="Arial" w:eastAsia="Arial" w:hAnsi="Arial" w:cs="Arial"/>
          <w:color w:val="000000"/>
          <w:sz w:val="22"/>
          <w:szCs w:val="22"/>
        </w:rPr>
        <w:t>n rotos, además de que la liga corresponda al contrato o convenio directamente al que hace referencia en la información que se está publicando.</w:t>
      </w:r>
    </w:p>
    <w:p w14:paraId="6B262E5E" w14:textId="77777777" w:rsidR="004B16C6" w:rsidRPr="00AF327E" w:rsidRDefault="00FB6F8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AF327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Recomendaciones derivadas de la Segunda Evaluación Vinculante 2020</w:t>
      </w:r>
    </w:p>
    <w:p w14:paraId="32CDC934" w14:textId="77777777" w:rsidR="004B16C6" w:rsidRDefault="00FB6F8A">
      <w:pPr>
        <w:jc w:val="both"/>
        <w:rPr>
          <w:rFonts w:ascii="Arial" w:eastAsia="Arial" w:hAnsi="Arial" w:cs="Arial"/>
          <w:sz w:val="22"/>
          <w:szCs w:val="22"/>
        </w:rPr>
      </w:pPr>
      <w:bookmarkStart w:id="8" w:name="_heading=h.1fob9te" w:colFirst="0" w:colLast="0"/>
      <w:bookmarkEnd w:id="8"/>
      <w:r>
        <w:rPr>
          <w:rFonts w:ascii="Arial" w:eastAsia="Arial" w:hAnsi="Arial" w:cs="Arial"/>
          <w:sz w:val="22"/>
          <w:szCs w:val="22"/>
        </w:rPr>
        <w:t>De los resultados antes señalados, se despren</w:t>
      </w:r>
      <w:r>
        <w:rPr>
          <w:rFonts w:ascii="Arial" w:eastAsia="Arial" w:hAnsi="Arial" w:cs="Arial"/>
          <w:sz w:val="22"/>
          <w:szCs w:val="22"/>
        </w:rPr>
        <w:t xml:space="preserve">den una serie de </w:t>
      </w:r>
      <w:r>
        <w:rPr>
          <w:rFonts w:ascii="Arial" w:eastAsia="Arial" w:hAnsi="Arial" w:cs="Arial"/>
          <w:b/>
          <w:sz w:val="22"/>
          <w:szCs w:val="22"/>
        </w:rPr>
        <w:t>recomendaciones</w:t>
      </w:r>
      <w:r>
        <w:rPr>
          <w:rFonts w:ascii="Arial" w:eastAsia="Arial" w:hAnsi="Arial" w:cs="Arial"/>
          <w:sz w:val="22"/>
          <w:szCs w:val="22"/>
        </w:rPr>
        <w:t xml:space="preserve"> a los sujetos obligados para garantizar a las personas su derecho de acceso a la información con la publicación de información completa, veraz, oportuna para incrementar su utilidad y aprovechamiento.</w:t>
      </w:r>
    </w:p>
    <w:p w14:paraId="1BACAFE0" w14:textId="77777777" w:rsidR="004B16C6" w:rsidRDefault="00FB6F8A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Mantener </w:t>
      </w:r>
      <w:r>
        <w:rPr>
          <w:rFonts w:ascii="Arial" w:eastAsia="Arial" w:hAnsi="Arial" w:cs="Arial"/>
          <w:b/>
          <w:sz w:val="22"/>
          <w:szCs w:val="22"/>
        </w:rPr>
        <w:t xml:space="preserve">actualizada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información con </w:t>
      </w:r>
      <w:r>
        <w:rPr>
          <w:rFonts w:ascii="Arial" w:eastAsia="Arial" w:hAnsi="Arial" w:cs="Arial"/>
          <w:b/>
          <w:sz w:val="22"/>
          <w:szCs w:val="22"/>
        </w:rPr>
        <w:t>accesos directos</w:t>
      </w:r>
      <w:r>
        <w:rPr>
          <w:rFonts w:ascii="Arial" w:eastAsia="Arial" w:hAnsi="Arial" w:cs="Arial"/>
          <w:sz w:val="22"/>
          <w:szCs w:val="22"/>
        </w:rPr>
        <w:t xml:space="preserve"> que faciliten su consulta.</w:t>
      </w:r>
    </w:p>
    <w:p w14:paraId="4AE3F200" w14:textId="77777777" w:rsidR="004B16C6" w:rsidRDefault="00FB6F8A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Utilizar bases de </w:t>
      </w:r>
      <w:r>
        <w:rPr>
          <w:rFonts w:ascii="Arial" w:eastAsia="Arial" w:hAnsi="Arial" w:cs="Arial"/>
          <w:b/>
          <w:sz w:val="22"/>
          <w:szCs w:val="22"/>
        </w:rPr>
        <w:t>datos abiertos</w:t>
      </w:r>
      <w:r>
        <w:rPr>
          <w:rFonts w:ascii="Arial" w:eastAsia="Arial" w:hAnsi="Arial" w:cs="Arial"/>
          <w:sz w:val="22"/>
          <w:szCs w:val="22"/>
        </w:rPr>
        <w:t xml:space="preserve">, lenguaje sencillo. </w:t>
      </w:r>
    </w:p>
    <w:p w14:paraId="25C7CABC" w14:textId="77777777" w:rsidR="004B16C6" w:rsidRDefault="00FB6F8A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Establecer un apartado correspondiente a la información histórica de las obligaciones de transparencia, a fin de brindar acceso fácil a la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emoria y archivo institucional</w:t>
      </w:r>
      <w:r>
        <w:rPr>
          <w:rFonts w:ascii="Arial" w:eastAsia="Arial" w:hAnsi="Arial" w:cs="Arial"/>
          <w:sz w:val="22"/>
          <w:szCs w:val="22"/>
        </w:rPr>
        <w:t>.</w:t>
      </w:r>
    </w:p>
    <w:p w14:paraId="7CB954E0" w14:textId="77777777" w:rsidR="004B16C6" w:rsidRDefault="00FB6F8A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Verificar el </w:t>
      </w:r>
      <w:r>
        <w:rPr>
          <w:rFonts w:ascii="Arial" w:eastAsia="Arial" w:hAnsi="Arial" w:cs="Arial"/>
          <w:b/>
          <w:sz w:val="22"/>
          <w:szCs w:val="22"/>
        </w:rPr>
        <w:t>correcto funcionamiento de los hipervínculos.</w:t>
      </w:r>
    </w:p>
    <w:p w14:paraId="6CFA199F" w14:textId="77777777" w:rsidR="004B16C6" w:rsidRDefault="00FB6F8A">
      <w:pPr>
        <w:numPr>
          <w:ilvl w:val="0"/>
          <w:numId w:val="1"/>
        </w:numPr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Verificar la </w:t>
      </w:r>
      <w:r>
        <w:rPr>
          <w:rFonts w:ascii="Arial" w:eastAsia="Arial" w:hAnsi="Arial" w:cs="Arial"/>
          <w:b/>
          <w:sz w:val="22"/>
          <w:szCs w:val="22"/>
        </w:rPr>
        <w:t>correspondencia entre los formatos y la fracción o inciso</w:t>
      </w:r>
      <w:r>
        <w:rPr>
          <w:rFonts w:ascii="Arial" w:eastAsia="Arial" w:hAnsi="Arial" w:cs="Arial"/>
          <w:sz w:val="22"/>
          <w:szCs w:val="22"/>
        </w:rPr>
        <w:t>, así como cuidar la ortografía, redacción y puntuación en los formatos de carga.</w:t>
      </w:r>
    </w:p>
    <w:p w14:paraId="51B5D987" w14:textId="77777777" w:rsidR="004B16C6" w:rsidRDefault="00FB6F8A">
      <w:pPr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Revisar que 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z w:val="22"/>
          <w:szCs w:val="22"/>
        </w:rPr>
        <w:t xml:space="preserve">homologue </w:t>
      </w:r>
      <w:r>
        <w:rPr>
          <w:rFonts w:ascii="Arial" w:eastAsia="Arial" w:hAnsi="Arial" w:cs="Arial"/>
          <w:sz w:val="22"/>
          <w:szCs w:val="22"/>
        </w:rPr>
        <w:t xml:space="preserve">la información que se publica en el </w:t>
      </w:r>
      <w:r>
        <w:rPr>
          <w:rFonts w:ascii="Arial" w:eastAsia="Arial" w:hAnsi="Arial" w:cs="Arial"/>
          <w:b/>
          <w:sz w:val="22"/>
          <w:szCs w:val="22"/>
        </w:rPr>
        <w:t>portal de transparencia</w:t>
      </w:r>
      <w:r>
        <w:rPr>
          <w:rFonts w:ascii="Arial" w:eastAsia="Arial" w:hAnsi="Arial" w:cs="Arial"/>
          <w:sz w:val="22"/>
          <w:szCs w:val="22"/>
        </w:rPr>
        <w:t xml:space="preserve"> del sujeto obligado y en la </w:t>
      </w:r>
      <w:r>
        <w:rPr>
          <w:rFonts w:ascii="Arial" w:eastAsia="Arial" w:hAnsi="Arial" w:cs="Arial"/>
          <w:b/>
          <w:sz w:val="22"/>
          <w:szCs w:val="22"/>
        </w:rPr>
        <w:t>Plataforma Nacional de Transparencia</w:t>
      </w:r>
      <w:r>
        <w:rPr>
          <w:rFonts w:ascii="Arial" w:eastAsia="Arial" w:hAnsi="Arial" w:cs="Arial"/>
          <w:sz w:val="22"/>
          <w:szCs w:val="22"/>
        </w:rPr>
        <w:t>.</w:t>
      </w:r>
    </w:p>
    <w:p w14:paraId="4866F81E" w14:textId="77777777" w:rsidR="004B16C6" w:rsidRDefault="00FB6F8A">
      <w:pPr>
        <w:numPr>
          <w:ilvl w:val="0"/>
          <w:numId w:val="1"/>
        </w:numPr>
        <w:spacing w:after="120"/>
        <w:ind w:left="4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materia de contrataciones, publicar </w:t>
      </w:r>
      <w:r>
        <w:rPr>
          <w:rFonts w:ascii="Arial" w:eastAsia="Arial" w:hAnsi="Arial" w:cs="Arial"/>
          <w:b/>
          <w:sz w:val="22"/>
          <w:szCs w:val="22"/>
        </w:rPr>
        <w:t>la información completa</w:t>
      </w:r>
      <w:r>
        <w:rPr>
          <w:rFonts w:ascii="Arial" w:eastAsia="Arial" w:hAnsi="Arial" w:cs="Arial"/>
          <w:sz w:val="22"/>
          <w:szCs w:val="22"/>
        </w:rPr>
        <w:t xml:space="preserve"> y mantenerla </w:t>
      </w:r>
      <w:r>
        <w:rPr>
          <w:rFonts w:ascii="Arial" w:eastAsia="Arial" w:hAnsi="Arial" w:cs="Arial"/>
          <w:b/>
          <w:sz w:val="22"/>
          <w:szCs w:val="22"/>
        </w:rPr>
        <w:t>actualizada</w:t>
      </w:r>
      <w:r>
        <w:rPr>
          <w:rFonts w:ascii="Arial" w:eastAsia="Arial" w:hAnsi="Arial" w:cs="Arial"/>
          <w:sz w:val="22"/>
          <w:szCs w:val="22"/>
        </w:rPr>
        <w:t xml:space="preserve"> en lo que se refiere a los contratos, tanto para los </w:t>
      </w:r>
      <w:r>
        <w:rPr>
          <w:rFonts w:ascii="Arial" w:eastAsia="Arial" w:hAnsi="Arial" w:cs="Arial"/>
          <w:b/>
          <w:sz w:val="22"/>
          <w:szCs w:val="22"/>
        </w:rPr>
        <w:t>procesos de licitación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invitación restringida</w:t>
      </w:r>
      <w:r>
        <w:rPr>
          <w:rFonts w:ascii="Arial" w:eastAsia="Arial" w:hAnsi="Arial" w:cs="Arial"/>
          <w:sz w:val="22"/>
          <w:szCs w:val="22"/>
        </w:rPr>
        <w:t xml:space="preserve"> y la relativa a las </w:t>
      </w:r>
      <w:r>
        <w:rPr>
          <w:rFonts w:ascii="Arial" w:eastAsia="Arial" w:hAnsi="Arial" w:cs="Arial"/>
          <w:b/>
          <w:sz w:val="22"/>
          <w:szCs w:val="22"/>
        </w:rPr>
        <w:t>adjudicaciones directas</w:t>
      </w:r>
      <w:r>
        <w:rPr>
          <w:rFonts w:ascii="Arial" w:eastAsia="Arial" w:hAnsi="Arial" w:cs="Arial"/>
          <w:sz w:val="22"/>
          <w:szCs w:val="22"/>
        </w:rPr>
        <w:t>.</w:t>
      </w:r>
    </w:p>
    <w:p w14:paraId="31497C34" w14:textId="77777777" w:rsidR="004B16C6" w:rsidRDefault="00FB6F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la luz de los resultados de la Segunda Evaluación Vinculante 2020, el equipo de Estado Abierto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InfoCDMX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r>
        <w:rPr>
          <w:rFonts w:ascii="Arial" w:eastAsia="Arial" w:hAnsi="Arial" w:cs="Arial"/>
          <w:sz w:val="22"/>
          <w:szCs w:val="22"/>
        </w:rPr>
        <w:t xml:space="preserve">dará a la tarea de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diseñar e implementar acciones de acompañamiento con base en las necesidades de cada sujeto obligado a través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asesorías 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écnicas especializadas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permanentes que permitan, por un lado, dar cumplimiento cabal a las obligaciones de transparencia mínimas que estipula la ley; y, por otro lado, mejorar diversos aspectos encaminados hacia 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apertura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institucional en la publicación </w:t>
      </w:r>
      <w:r>
        <w:rPr>
          <w:rFonts w:ascii="Arial" w:eastAsia="Arial" w:hAnsi="Arial" w:cs="Arial"/>
          <w:color w:val="000000"/>
          <w:sz w:val="22"/>
          <w:szCs w:val="22"/>
        </w:rPr>
        <w:t>de la información como son: accesibilidad, lenguaje sencillo, bases abiertas, oportunidad, memoria y archivo, y asimismo ofrezca mecanismos para la consulta y participación con miras a que la información sea útil y permita a las personas su mayor y mejor a</w:t>
      </w:r>
      <w:r>
        <w:rPr>
          <w:rFonts w:ascii="Arial" w:eastAsia="Arial" w:hAnsi="Arial" w:cs="Arial"/>
          <w:color w:val="000000"/>
          <w:sz w:val="22"/>
          <w:szCs w:val="22"/>
        </w:rPr>
        <w:t>provechamiento.</w:t>
      </w:r>
    </w:p>
    <w:p w14:paraId="6B2EA08B" w14:textId="77777777" w:rsidR="004B16C6" w:rsidRDefault="00FB6F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ello, el Instituto seguirá acompañando a los sujetos obligados para alcanzar el cumplimiento total de sus obligaciones de transparencia y así seguir dando pasos en la implementación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Plan Estratégico para Desarrollar la Agenda de Est</w:t>
      </w:r>
      <w:r>
        <w:rPr>
          <w:rFonts w:ascii="Arial" w:eastAsia="Arial" w:hAnsi="Arial" w:cs="Arial"/>
          <w:b/>
          <w:color w:val="000000"/>
          <w:sz w:val="22"/>
          <w:szCs w:val="22"/>
        </w:rPr>
        <w:t>ado Abierto desde el Instituto 2019-2025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evaluaciones oportunas y eficaces con perspectiva de derechos humanos y accesibilidad.</w:t>
      </w:r>
    </w:p>
    <w:sectPr w:rsidR="004B16C6">
      <w:headerReference w:type="default" r:id="rId8"/>
      <w:footerReference w:type="default" r:id="rId9"/>
      <w:pgSz w:w="12240" w:h="15840"/>
      <w:pgMar w:top="136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FE9C" w14:textId="77777777" w:rsidR="00FB6F8A" w:rsidRDefault="00FB6F8A">
      <w:r>
        <w:separator/>
      </w:r>
    </w:p>
  </w:endnote>
  <w:endnote w:type="continuationSeparator" w:id="0">
    <w:p w14:paraId="0D3CD958" w14:textId="77777777" w:rsidR="00FB6F8A" w:rsidRDefault="00FB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1E85" w14:textId="77777777" w:rsidR="004B16C6" w:rsidRDefault="00FB6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8080"/>
        <w:sz w:val="22"/>
        <w:szCs w:val="22"/>
      </w:rPr>
    </w:pPr>
    <w:r>
      <w:rPr>
        <w:rFonts w:ascii="Calibri" w:eastAsia="Calibri" w:hAnsi="Calibri" w:cs="Calibri"/>
        <w:b/>
        <w:color w:val="00808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8080"/>
        <w:sz w:val="22"/>
        <w:szCs w:val="22"/>
      </w:rPr>
      <w:instrText>PAGE</w:instrText>
    </w:r>
    <w:r w:rsidR="00AF327E">
      <w:rPr>
        <w:rFonts w:ascii="Calibri" w:eastAsia="Calibri" w:hAnsi="Calibri" w:cs="Calibri"/>
        <w:b/>
        <w:color w:val="008080"/>
        <w:sz w:val="22"/>
        <w:szCs w:val="22"/>
      </w:rPr>
      <w:fldChar w:fldCharType="separate"/>
    </w:r>
    <w:r w:rsidR="00AF327E">
      <w:rPr>
        <w:rFonts w:ascii="Calibri" w:eastAsia="Calibri" w:hAnsi="Calibri" w:cs="Calibri"/>
        <w:b/>
        <w:noProof/>
        <w:color w:val="008080"/>
        <w:sz w:val="22"/>
        <w:szCs w:val="22"/>
      </w:rPr>
      <w:t>1</w:t>
    </w:r>
    <w:r>
      <w:rPr>
        <w:rFonts w:ascii="Calibri" w:eastAsia="Calibri" w:hAnsi="Calibri" w:cs="Calibri"/>
        <w:b/>
        <w:color w:val="008080"/>
        <w:sz w:val="22"/>
        <w:szCs w:val="22"/>
      </w:rPr>
      <w:fldChar w:fldCharType="end"/>
    </w:r>
  </w:p>
  <w:p w14:paraId="1093B0DB" w14:textId="77777777" w:rsidR="004B16C6" w:rsidRDefault="004B16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mallCaps/>
        <w:color w:val="5B9BD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5EECF" w14:textId="77777777" w:rsidR="00FB6F8A" w:rsidRDefault="00FB6F8A">
      <w:r>
        <w:separator/>
      </w:r>
    </w:p>
  </w:footnote>
  <w:footnote w:type="continuationSeparator" w:id="0">
    <w:p w14:paraId="26B3BFBE" w14:textId="77777777" w:rsidR="00FB6F8A" w:rsidRDefault="00FB6F8A">
      <w:r>
        <w:continuationSeparator/>
      </w:r>
    </w:p>
  </w:footnote>
  <w:footnote w:id="1">
    <w:p w14:paraId="5F8AF8BE" w14:textId="77777777" w:rsidR="004B16C6" w:rsidRDefault="00FB6F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Segunda Evaluación Vinculante 2020 respecto del ejercicio 2019</w:t>
      </w:r>
    </w:p>
  </w:footnote>
  <w:footnote w:id="2">
    <w:p w14:paraId="71756F95" w14:textId="77777777" w:rsidR="004B16C6" w:rsidRDefault="00FB6F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Los otros tres sujetos obligados no fueron objetivo de verificación debido a que fueron incorporados al Padrón en diciembre de 2019, y al comienzo de la evaluación se encontraban en periodo d</w:t>
      </w:r>
      <w:r>
        <w:rPr>
          <w:rFonts w:ascii="Arial" w:eastAsia="Arial" w:hAnsi="Arial" w:cs="Arial"/>
          <w:sz w:val="16"/>
          <w:szCs w:val="16"/>
        </w:rPr>
        <w:t>e carga conforme al acuerdo emitido por el Pleno del Instituto.</w:t>
      </w:r>
    </w:p>
  </w:footnote>
  <w:footnote w:id="3">
    <w:p w14:paraId="414689CF" w14:textId="77777777" w:rsidR="004B16C6" w:rsidRDefault="00FB6F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13 de la administración pública central; 4 organismos desconcentrados, paraestatales fondos y fideicomisos; 5 alcaldías y 2 órganos autónomos. </w:t>
      </w:r>
    </w:p>
  </w:footnote>
  <w:footnote w:id="4">
    <w:p w14:paraId="4A21AC94" w14:textId="77777777" w:rsidR="004B16C6" w:rsidRDefault="00FB6F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9 de la administración pública central, 49 o</w:t>
      </w:r>
      <w:r>
        <w:rPr>
          <w:rFonts w:ascii="Arial" w:eastAsia="Arial" w:hAnsi="Arial" w:cs="Arial"/>
          <w:sz w:val="16"/>
          <w:szCs w:val="16"/>
        </w:rPr>
        <w:t>rganismos desconcentrados, fondos y fideicomisos, 11 alcaldías, 2 del Poder Legislativo y 2 Poder Judicial, 4 órganos autónomos, 5 partidos políticos y 4 sindicatos.</w:t>
      </w:r>
    </w:p>
  </w:footnote>
  <w:footnote w:id="5">
    <w:p w14:paraId="08E69691" w14:textId="77777777" w:rsidR="004B16C6" w:rsidRDefault="00FB6F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9 organismos desconcentrados, paraestatales, fondos y fideicomisos, 1 órgano autónomo, 2</w:t>
      </w:r>
      <w:r>
        <w:rPr>
          <w:rFonts w:ascii="Arial" w:eastAsia="Arial" w:hAnsi="Arial" w:cs="Arial"/>
          <w:sz w:val="16"/>
          <w:szCs w:val="16"/>
        </w:rPr>
        <w:t xml:space="preserve"> partidos políticos y 13 sindicatos. </w:t>
      </w:r>
    </w:p>
  </w:footnote>
  <w:footnote w:id="6">
    <w:p w14:paraId="112AE244" w14:textId="77777777" w:rsidR="004B16C6" w:rsidRDefault="00FB6F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1 del ámbito de organismos desconcentrados, paraestatales, fondos y fideicomisos, 3 partidos políticos y 4 sindicatos.</w:t>
      </w:r>
    </w:p>
  </w:footnote>
  <w:footnote w:id="7">
    <w:p w14:paraId="3536F6E9" w14:textId="77777777" w:rsidR="004B16C6" w:rsidRDefault="00FB6F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Las buenas prácticas son: 1) Publican la información en bases de datos limpias, 2) Publican la </w:t>
      </w:r>
      <w:r>
        <w:rPr>
          <w:rFonts w:ascii="Arial" w:eastAsia="Arial" w:hAnsi="Arial" w:cs="Arial"/>
          <w:sz w:val="16"/>
          <w:szCs w:val="16"/>
        </w:rPr>
        <w:t xml:space="preserve">información en formatos abiertos y accesibles, 3) Publican un </w:t>
      </w:r>
      <w:proofErr w:type="spellStart"/>
      <w:r>
        <w:rPr>
          <w:rFonts w:ascii="Arial" w:eastAsia="Arial" w:hAnsi="Arial" w:cs="Arial"/>
          <w:sz w:val="16"/>
          <w:szCs w:val="16"/>
        </w:rPr>
        <w:t>micrositio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transparencia en el cual utilizan un lenguaje ciudadano, 4) El ingreso a la sección de obligaciones de transparencia es de fácil acceso y navegación para los usuarios, 5) Se descri</w:t>
      </w:r>
      <w:r>
        <w:rPr>
          <w:rFonts w:ascii="Arial" w:eastAsia="Arial" w:hAnsi="Arial" w:cs="Arial"/>
          <w:sz w:val="16"/>
          <w:szCs w:val="16"/>
        </w:rPr>
        <w:t>be el tema al que se refieren los artículos y fracciones, 6) Utilizan el formato público de descarga de la Plataforma Nacional de Transparencia (para carga en el portal de transparencia), 7) Concentran la información en un solo formato y no por unidad admi</w:t>
      </w:r>
      <w:r>
        <w:rPr>
          <w:rFonts w:ascii="Arial" w:eastAsia="Arial" w:hAnsi="Arial" w:cs="Arial"/>
          <w:sz w:val="16"/>
          <w:szCs w:val="16"/>
        </w:rPr>
        <w:t>nistrativa, 8) Publican en su sitio de Internet un apartado correspondiente a información histórica de las obligaciones de transparencia, 9) Publican una leyenda en las fracciones que “No les aplican”, 10) Actualizan la información de manera inmediata en c</w:t>
      </w:r>
      <w:r>
        <w:rPr>
          <w:rFonts w:ascii="Arial" w:eastAsia="Arial" w:hAnsi="Arial" w:cs="Arial"/>
          <w:sz w:val="16"/>
          <w:szCs w:val="16"/>
        </w:rPr>
        <w:t>uanto termina el periodo establecido en la normativa correspondiente y 11) Indican en las notas cuándo se tendrá disponible la información que al momento de su actualización se encuentra en proceso de generación.</w:t>
      </w:r>
    </w:p>
  </w:footnote>
  <w:footnote w:id="8">
    <w:p w14:paraId="18AB28EE" w14:textId="77777777" w:rsidR="004B16C6" w:rsidRDefault="00FB6F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Las áreas de oportunidad son: 1) Actualiz</w:t>
      </w:r>
      <w:r>
        <w:rPr>
          <w:rFonts w:ascii="Arial" w:eastAsia="Arial" w:hAnsi="Arial" w:cs="Arial"/>
          <w:sz w:val="16"/>
          <w:szCs w:val="16"/>
        </w:rPr>
        <w:t>ar oportunamente la información, 2) Verificar que los hipervínculos registrados funcionen correctamente y, en su caso, alojarlos en un servidor perteneciente a la Institución para evitar rupturas en los mismos, 3) Publicar el hipervínculo que dé acceso dir</w:t>
      </w:r>
      <w:r>
        <w:rPr>
          <w:rFonts w:ascii="Arial" w:eastAsia="Arial" w:hAnsi="Arial" w:cs="Arial"/>
          <w:sz w:val="16"/>
          <w:szCs w:val="16"/>
        </w:rPr>
        <w:t xml:space="preserve">ecto a los documentos, 4) Desproteger los hipervínculos y/o formatos, previo a su registro, 5) Registrar los hipervínculos que dan acceso a la versión más actualizada de los documentos, 6) Verificar la ortografía, redacción y puntuación en los formatos de </w:t>
      </w:r>
      <w:r>
        <w:rPr>
          <w:rFonts w:ascii="Arial" w:eastAsia="Arial" w:hAnsi="Arial" w:cs="Arial"/>
          <w:sz w:val="16"/>
          <w:szCs w:val="16"/>
        </w:rPr>
        <w:t>carga, 7) Verificar que los formatos utilizados correspondan con la fracción o inciso, 8) Homologar la información que se publica en el portal de transparencia del sujeto obligado con la que se publica en la Plataforma Nacional de Transparencia y 9) Public</w:t>
      </w:r>
      <w:r>
        <w:rPr>
          <w:rFonts w:ascii="Arial" w:eastAsia="Arial" w:hAnsi="Arial" w:cs="Arial"/>
          <w:sz w:val="16"/>
          <w:szCs w:val="16"/>
        </w:rPr>
        <w:t>ar la leyenda “No se genera información” en lugar de "No aplica" cuando los criterios no le son aplicables.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AE8D" w14:textId="77777777" w:rsidR="00AF327E" w:rsidRDefault="00AF3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1C487E35" w14:textId="249055A7" w:rsidR="004B16C6" w:rsidRDefault="00AF3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114300" distB="114300" distL="114300" distR="114300" simplePos="0" relativeHeight="251659264" behindDoc="1" locked="0" layoutInCell="1" hidden="0" allowOverlap="1" wp14:anchorId="58B2C414" wp14:editId="7915C5C1">
          <wp:simplePos x="0" y="0"/>
          <wp:positionH relativeFrom="page">
            <wp:posOffset>4472</wp:posOffset>
          </wp:positionH>
          <wp:positionV relativeFrom="page">
            <wp:posOffset>11126</wp:posOffset>
          </wp:positionV>
          <wp:extent cx="7782877" cy="1152525"/>
          <wp:effectExtent l="0" t="0" r="2540" b="3175"/>
          <wp:wrapNone/>
          <wp:docPr id="26386909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2877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C3185F1" w14:textId="50F3242D" w:rsidR="00AF327E" w:rsidRDefault="00AF3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3491DBB1" w14:textId="5AA5F3DC" w:rsidR="00AF327E" w:rsidRDefault="00AF3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2B89219B" w14:textId="77777777" w:rsidR="00AF327E" w:rsidRDefault="00AF3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22D4"/>
    <w:multiLevelType w:val="multilevel"/>
    <w:tmpl w:val="B01A6436"/>
    <w:lvl w:ilvl="0">
      <w:start w:val="1"/>
      <w:numFmt w:val="bullet"/>
      <w:lvlText w:val="●"/>
      <w:lvlJc w:val="left"/>
      <w:pPr>
        <w:ind w:left="-3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F43069"/>
    <w:multiLevelType w:val="multilevel"/>
    <w:tmpl w:val="B04A91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C6"/>
    <w:rsid w:val="004B16C6"/>
    <w:rsid w:val="00AF327E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CB989"/>
  <w15:docId w15:val="{FEBD5B1E-567A-4F4B-8B4D-C48AA6B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BC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4710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10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710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ES_tradnl"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471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471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471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0A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52A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452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003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369"/>
    <w:pPr>
      <w:spacing w:after="160"/>
    </w:pPr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369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03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0369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369"/>
    <w:rPr>
      <w:rFonts w:ascii="Segoe UI" w:eastAsiaTheme="minorHAnsi" w:hAnsi="Segoe UI" w:cs="Segoe U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369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3A3B2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3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64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E643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64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6438"/>
    <w:rPr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AF69FA"/>
    <w:pPr>
      <w:outlineLvl w:val="9"/>
    </w:pPr>
    <w:rPr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69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F69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AF69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CF5DA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CF5DA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CF5DA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CF5DA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CF5DA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CF5DA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paragraph" w:styleId="Revisin">
    <w:name w:val="Revision"/>
    <w:hidden/>
    <w:uiPriority w:val="99"/>
    <w:semiHidden/>
    <w:rsid w:val="009D7771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22FE8"/>
    <w:pPr>
      <w:spacing w:after="160" w:line="259" w:lineRule="auto"/>
    </w:pPr>
    <w:rPr>
      <w:rFonts w:eastAsiaTheme="minorHAnsi"/>
      <w:lang w:val="es-ES_tradn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mb/PK+t/KjxURt4x90ZeCMQqg==">AMUW2mUUkhDHKCmWEeOYptubEmlIi7+PGNPQQdGAtNznwT1WGh2BuaQKI3+tWTr8I5I4s+9H18VUjAcUEp03nk55brfOgI51dUBVOlc9stl/2z9RhG/V6dvaqEAdChop5w4D11BlEWBJizXuxgU6cTeBeUz22GV8NamqV+lQ2Yg7zw8gaE37vaHZLTCPlq7mao3zas78Xo2/f7EzGlzd25/wlb7ZtfS0BB5LUlIqX6+l2VHzL+TLZdK/MDJGrEmXQZkN0aMoetnKYc+r99pOv2nKTvOOJD39J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E7219F-BCCD-43B1-BF87-DBAAA06D94C5}"/>
</file>

<file path=customXml/itemProps3.xml><?xml version="1.0" encoding="utf-8"?>
<ds:datastoreItem xmlns:ds="http://schemas.openxmlformats.org/officeDocument/2006/customXml" ds:itemID="{279C287B-18FE-4685-86E0-7DB4180BBC2C}"/>
</file>

<file path=customXml/itemProps4.xml><?xml version="1.0" encoding="utf-8"?>
<ds:datastoreItem xmlns:ds="http://schemas.openxmlformats.org/officeDocument/2006/customXml" ds:itemID="{98668648-B40F-49C1-B5C9-3604D4387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Quintana</dc:creator>
  <cp:lastModifiedBy>Aldo Antonio Trapero Maldonado</cp:lastModifiedBy>
  <cp:revision>2</cp:revision>
  <dcterms:created xsi:type="dcterms:W3CDTF">2020-09-21T18:40:00Z</dcterms:created>
  <dcterms:modified xsi:type="dcterms:W3CDTF">2020-09-30T16:44:00Z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